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AD5B4"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8" w:lineRule="atLeast"/>
        <w:ind w:left="0" w:right="0"/>
        <w:jc w:val="center"/>
        <w:rPr>
          <w:sz w:val="32"/>
          <w:szCs w:val="32"/>
        </w:rPr>
      </w:pPr>
      <w:r>
        <w:rPr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关于开展南京市2026年度教育征文竞赛活动的通知</w:t>
      </w:r>
    </w:p>
    <w:p w14:paraId="3344A02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各区教师发展中心（教科室/所）、江北新区教育发展中心、直属学校（单位）：</w:t>
      </w:r>
    </w:p>
    <w:p w14:paraId="45A02FC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为提高教师参与教科研活动的积极性，提升教师教科研能力，促进全市教育的改革与发展，南京市教育局教育科学学术委员会、南京市教育科学研究所和南京教育学会定于2026年7月启动2026年度教育征文竞赛活动，现将具体事项通知如下：</w:t>
      </w:r>
    </w:p>
    <w:p w14:paraId="57BE3E9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一、征文要求</w:t>
      </w:r>
    </w:p>
    <w:p w14:paraId="4A9E18C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（一）内容要求</w:t>
      </w:r>
    </w:p>
    <w:p w14:paraId="2ACDF14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</w:rPr>
        <w:t>参赛文章须紧紧围绕《教育强国建设规划纲要（2024—2035年）》确定的重大主题与重点任务，扎根学校教育教学实践，从立德树人、育人方式、学校管理、课程教学、教师发展、学生成长、教育评价、教育数字化等方面进行研究阐释，力争解决教育教学的真问题，做有科学方法支撑的真研究，出变革实践管用的真成果。</w:t>
      </w:r>
    </w:p>
    <w:p w14:paraId="111FE98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（二）体裁要求</w:t>
      </w:r>
    </w:p>
    <w:p w14:paraId="37DE1FC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</w:rPr>
        <w:t>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</w:rPr>
        <w:t>文章须围绕规定主题，符合学术规范，可以是教育基本理论探讨、教育重大问题研究，也可以是教育、教学、科研实践创新成果、调查研究报告等。文章应深入研究、注重实践，选取创新主题，呈现典型实践，解决真实问题，总结内在规律，凸显科学性、实践性、逻辑性。突出一个侧重点，切忌面面俱到、泛泛而谈，避免写成工作总结或工作汇报。</w:t>
      </w:r>
    </w:p>
    <w:p w14:paraId="01D2761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</w:rPr>
        <w:t>选题范围</w:t>
      </w:r>
    </w:p>
    <w:p w14:paraId="084504F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9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  <w:vertAlign w:val="baseline"/>
        </w:rPr>
        <w:t>（一） 学前教育类：幼儿园课程游戏化、托幼一体化、学前教育普及普惠、学前教育免费、学龄人口波动背景下园所布局与生源调控策略等。</w:t>
      </w:r>
    </w:p>
    <w:p w14:paraId="7440787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9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  <w:vertAlign w:val="baseline"/>
        </w:rPr>
        <w:t>（二） 中小学教育类：提升学校教育思政引领力，思政课一体化改革创新，实践育人、网络育人，家校社协同育人机制创新、新课程实施与教学改革，新教材解读与使用，基础教育教研方式变革，跨学科主题学习、大概念教学、学科实践、“教—学—评”一致性等课改重要主题的理解与实践，区域教研模式变革、人工智能赋能教育教学变革、师生数字素养培育、教育家精神与教师队伍建设，小班化教学、STEM教育、创造力素养和创新素养培养、中小学心理健康教育体系建设、中华优秀传统文化融合教学、劳动教育、新时代教育评价改革等。</w:t>
      </w:r>
    </w:p>
    <w:p w14:paraId="0277E14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9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  <w:vertAlign w:val="baseline"/>
        </w:rPr>
        <w:t>（三）职业教育类：职业教育课程思政建设，产业转型升级背景下高技能人才培养，人工智能赋能职业教育课堂变革，职普融通实施路径，产教融合体系建设，校企合作方式创新，职业学校高水平“双师型”教师队伍建设，中国特色学徒制人才培养模式等。</w:t>
      </w:r>
    </w:p>
    <w:p w14:paraId="0CB0686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9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  <w:vertAlign w:val="baseline"/>
        </w:rPr>
        <w:t>（四）特殊教育类不限范围。</w:t>
      </w:r>
    </w:p>
    <w:p w14:paraId="5A87739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9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4"/>
          <w:sz w:val="24"/>
          <w:szCs w:val="24"/>
          <w:bdr w:val="none" w:color="auto" w:sz="0" w:space="0"/>
          <w:shd w:val="clear" w:fill="FFFFFF"/>
          <w:vertAlign w:val="baseline"/>
        </w:rPr>
        <w:t>（五）其他类。</w:t>
      </w:r>
    </w:p>
    <w:p w14:paraId="6C05373F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三、文章征收与文本要求</w:t>
      </w:r>
    </w:p>
    <w:p w14:paraId="4B20E64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（一）文章征收</w:t>
      </w:r>
    </w:p>
    <w:p w14:paraId="7AD95590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征文委托各区教师发展中心（教科所/室）、江北新区教育发展中心统一征收，市直属学校由学校教科室负责征收。</w:t>
      </w:r>
    </w:p>
    <w:p w14:paraId="548971D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（二）文本要求</w:t>
      </w:r>
    </w:p>
    <w:p w14:paraId="28F240A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不能以图片形式显示文字。有200字以内的摘要和3—5个关键词。引文要准确无误。注释及参考文献按通用学术规范格式编写，其中注释需每页编号，统一用脚注。文章格式设置为：标题三号黑体，一级标题四号黑体，二级标题小四号楷体，正文小四号宋体，行距1.5倍。</w:t>
      </w:r>
    </w:p>
    <w:p w14:paraId="3B1122A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三）参赛文章须隐去个人、学校等信息，出现此类信息的文章，一律取消参赛资格；曾参加市级及以上征文竞赛的文章不得参赛；已在国内外期刊公开发表的文章不得参赛；使用人工智能工具直接生成的文章不得参赛。</w:t>
      </w:r>
    </w:p>
    <w:p w14:paraId="701FD1B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（四）注意事项</w:t>
      </w:r>
    </w:p>
    <w:p w14:paraId="4F1F924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1.不接收教师个人直接报送；</w:t>
      </w:r>
    </w:p>
    <w:p w14:paraId="5B27EC7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2.参赛文章字数在1万字之内；</w:t>
      </w:r>
    </w:p>
    <w:p w14:paraId="096686F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3.参赛文章作者只限一人；</w:t>
      </w:r>
    </w:p>
    <w:p w14:paraId="11E2C0B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4.每位老师只能有一篇文章参赛。</w:t>
      </w:r>
    </w:p>
    <w:p w14:paraId="1102AAC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按照南京市职称工作领导小组办公室的相关规定，同一人同一年度参加同一部门的征文竞赛，只能有一篇文章获奖，以最高等次为算。</w:t>
      </w:r>
    </w:p>
    <w:p w14:paraId="15B125F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四、竞赛的程序和方法</w:t>
      </w:r>
    </w:p>
    <w:p w14:paraId="42999F0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本次竞赛采取逐级报送、匿名参赛、择优评奖的方式，为确保申报工作顺利进行，现将程序通知如下：</w:t>
      </w:r>
    </w:p>
    <w:p w14:paraId="57B4908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1.校级教育征文竞赛</w:t>
      </w:r>
    </w:p>
    <w:p w14:paraId="46C7C46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参赛教师依据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instrText xml:space="preserve"> HYPERLINK "https://www.njjks.cn/tzgg/tzgg/cms/post-486118"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FF"/>
          <w:spacing w:val="0"/>
          <w:sz w:val="24"/>
          <w:szCs w:val="24"/>
          <w:u w:val="single"/>
          <w:bdr w:val="none" w:color="auto" w:sz="0" w:space="0"/>
          <w:shd w:val="clear" w:fill="FFFFFF"/>
        </w:rPr>
        <w:t>南京市2026年度教育征文竞赛活动网上申报流程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在以下时段进行网上申报：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2026年7月7日10点—2026年9月7日16点。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请各参赛教师提前做好准备，错时提交，避免提交阶段后期网络发生拥堵现象。学校教科室依据各区教师发展中心（区教科所/室）关于参赛文章申报的要求，在2026年9月12日之前，向区教师发展中心（区教科所/室）上报校推区参赛文章，并填写上报目录（附件2）。</w:t>
      </w:r>
    </w:p>
    <w:p w14:paraId="74A2FC9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市直属学校根据教育征文评分标准（附件1）遴选出文章，并填写上报目录（附件3）。其中，一等奖不超过上报市级参赛文章总数的20%，二等奖不超过上报市级参赛文章总数的30%，三等奖不超过上报市级参赛文章总数的50%。举例说明：南京市第一中学上报市级参赛文章总数为20篇，则上报市级参赛文章中一等奖4篇、二等奖6篇、三等奖10篇。</w:t>
      </w:r>
    </w:p>
    <w:p w14:paraId="0DD0D5E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2.区级教育征文竞赛</w:t>
      </w:r>
    </w:p>
    <w:p w14:paraId="33B2756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区教师发展中心（区教科所/室）根据评分标准（附件1）对各校遴选出的参赛文章进行评定，于2026年9月30日之前上报区推市参赛文章（各区、市各直属学校上报文章的具体数目见附录）其中，一等奖不超过上报市级参赛文章总数的20%，二等奖不超过上报市级参赛文章总数的30%，三等奖不超过上报市级参赛文章总数的50%。如某区上报市级参赛文章总数为590篇，则一等奖118篇、二等奖177篇、三等奖295篇。</w:t>
      </w:r>
    </w:p>
    <w:p w14:paraId="739F50E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3.市级教育征文竞赛</w:t>
      </w:r>
    </w:p>
    <w:p w14:paraId="5481A42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各区、各直属学校上报参赛征文总数不得突破上限数。同时，请将所有参赛征文按照评定结果进行降序排列，以电子目录（附件3）形式发送至市教科所指定邮箱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bdr w:val="none" w:color="auto" w:sz="0" w:space="0"/>
          <w:shd w:val="clear" w:fill="FFFFFF"/>
        </w:rPr>
        <w:t>njsjykxyjs@163.com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。市教科所将于10月至12月开展推市教育征文的初评、复评与终评的工作。</w:t>
      </w:r>
    </w:p>
    <w:p w14:paraId="264AE71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五、竞赛结果公布</w:t>
      </w:r>
    </w:p>
    <w:p w14:paraId="4CC8F8A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2026年12月31日之前在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南京市教科所论文案例及个人课题管理平台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上公布竞赛结果。</w:t>
      </w:r>
    </w:p>
    <w:p w14:paraId="305F917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六、联系方式</w:t>
      </w:r>
    </w:p>
    <w:p w14:paraId="4D8D25F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网络操作问题请联系技术支持：服务QQ：2045124848、602067285。工作时间：周一到周五（9:00-17:30），节假日除外。</w:t>
      </w:r>
    </w:p>
    <w:p w14:paraId="6EAB1B2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七、其他注意事项</w:t>
      </w:r>
    </w:p>
    <w:p w14:paraId="3B07160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竞赛活动采取网络评定方式，不需要纸质文稿，请参赛教师自留底稿。</w:t>
      </w:r>
    </w:p>
    <w:p w14:paraId="033ED13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请各区教师发展中心（区教科所/室）、江北新区教育发展中心、直属学校（单位）接到通知后，广泛宣传发动，认真做好参赛工作，并将本通知及有关附件转发至相关学校和单位。</w:t>
      </w:r>
    </w:p>
    <w:p w14:paraId="4DDE315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7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bookmarkStart w:id="0" w:name="_GoBack"/>
      <w:bookmarkEnd w:id="0"/>
    </w:p>
    <w:p w14:paraId="3D65FDB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75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南京市教育局教育科学学术委员会</w:t>
      </w:r>
    </w:p>
    <w:p w14:paraId="7A756E0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75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南京市教育科学研究所</w:t>
      </w:r>
    </w:p>
    <w:p w14:paraId="64C15AC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75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南京教育学会</w:t>
      </w:r>
    </w:p>
    <w:p w14:paraId="0D155B3F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475"/>
        <w:jc w:val="right"/>
        <w:rPr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2026年7月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029E5"/>
    <w:rsid w:val="00BA5897"/>
    <w:rsid w:val="01B86C9F"/>
    <w:rsid w:val="030A678D"/>
    <w:rsid w:val="03330DE0"/>
    <w:rsid w:val="060748FE"/>
    <w:rsid w:val="06530B44"/>
    <w:rsid w:val="067A653F"/>
    <w:rsid w:val="0ACD2EBA"/>
    <w:rsid w:val="0B1F292A"/>
    <w:rsid w:val="0B8E54CC"/>
    <w:rsid w:val="0ED519E5"/>
    <w:rsid w:val="0ED92040"/>
    <w:rsid w:val="11395620"/>
    <w:rsid w:val="12E03989"/>
    <w:rsid w:val="136E7DC4"/>
    <w:rsid w:val="14EB30F7"/>
    <w:rsid w:val="150802B7"/>
    <w:rsid w:val="16745833"/>
    <w:rsid w:val="17D20057"/>
    <w:rsid w:val="1B6E5235"/>
    <w:rsid w:val="1B8276A0"/>
    <w:rsid w:val="1BEF4247"/>
    <w:rsid w:val="1DEF4280"/>
    <w:rsid w:val="1F496D6C"/>
    <w:rsid w:val="1F881F58"/>
    <w:rsid w:val="2069226B"/>
    <w:rsid w:val="20E0237F"/>
    <w:rsid w:val="211438DF"/>
    <w:rsid w:val="2153349B"/>
    <w:rsid w:val="254E1DF4"/>
    <w:rsid w:val="27D711A3"/>
    <w:rsid w:val="2915085D"/>
    <w:rsid w:val="2AD726FD"/>
    <w:rsid w:val="2CE55754"/>
    <w:rsid w:val="2F351FB6"/>
    <w:rsid w:val="309C7180"/>
    <w:rsid w:val="31B1730E"/>
    <w:rsid w:val="329A3794"/>
    <w:rsid w:val="33B107A7"/>
    <w:rsid w:val="34914EB4"/>
    <w:rsid w:val="349940AD"/>
    <w:rsid w:val="394711A7"/>
    <w:rsid w:val="395F32FF"/>
    <w:rsid w:val="3B5510B8"/>
    <w:rsid w:val="40422F9B"/>
    <w:rsid w:val="40C703CB"/>
    <w:rsid w:val="43467284"/>
    <w:rsid w:val="441B6257"/>
    <w:rsid w:val="46EA6562"/>
    <w:rsid w:val="480F4A4E"/>
    <w:rsid w:val="483679B2"/>
    <w:rsid w:val="49555B1C"/>
    <w:rsid w:val="4B5B6A39"/>
    <w:rsid w:val="4C48496B"/>
    <w:rsid w:val="4C9670C8"/>
    <w:rsid w:val="4F0C1808"/>
    <w:rsid w:val="4FC8677B"/>
    <w:rsid w:val="52E26156"/>
    <w:rsid w:val="535F03E6"/>
    <w:rsid w:val="54933961"/>
    <w:rsid w:val="550B21CC"/>
    <w:rsid w:val="57C574F8"/>
    <w:rsid w:val="59D8737F"/>
    <w:rsid w:val="5A0B0EF3"/>
    <w:rsid w:val="5B7438F7"/>
    <w:rsid w:val="5DB3248B"/>
    <w:rsid w:val="5DEA68AD"/>
    <w:rsid w:val="627029E5"/>
    <w:rsid w:val="63D77AEB"/>
    <w:rsid w:val="63E360B1"/>
    <w:rsid w:val="645B1A40"/>
    <w:rsid w:val="64EB7B07"/>
    <w:rsid w:val="65B63B11"/>
    <w:rsid w:val="66A66972"/>
    <w:rsid w:val="68D0590B"/>
    <w:rsid w:val="6AA663A6"/>
    <w:rsid w:val="6DE906BE"/>
    <w:rsid w:val="6E042A43"/>
    <w:rsid w:val="70393A0F"/>
    <w:rsid w:val="7039416C"/>
    <w:rsid w:val="70B77B9C"/>
    <w:rsid w:val="70DA3870"/>
    <w:rsid w:val="70F86A77"/>
    <w:rsid w:val="71903F73"/>
    <w:rsid w:val="72C7084B"/>
    <w:rsid w:val="74D73C09"/>
    <w:rsid w:val="7604344E"/>
    <w:rsid w:val="7724546E"/>
    <w:rsid w:val="782E0F4E"/>
    <w:rsid w:val="78F31E82"/>
    <w:rsid w:val="7A0F4B24"/>
    <w:rsid w:val="7A1631DA"/>
    <w:rsid w:val="7AA56EE8"/>
    <w:rsid w:val="7AFB0F65"/>
    <w:rsid w:val="7B7A6117"/>
    <w:rsid w:val="7C3069B2"/>
    <w:rsid w:val="7CC42099"/>
    <w:rsid w:val="7D0A4F9B"/>
    <w:rsid w:val="7DE56D62"/>
    <w:rsid w:val="7F51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2026-07-08T02:01:00Z</dcterms:created>
  <dc:creator>商艳青</dc:creator>
  <cp:lastModifiedBy>商艳青</cp:lastModifiedBy>
  <dcterms:modified xsi:type="dcterms:W3CDTF">2026-07-08T02:02:52Z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053405061C414B269C0D3E096587AEB3_11</vt:lpwstr>
  </property>
  <property fmtid="{D5CDD505-2E9C-101B-9397-08002B2CF9AE}" pid="4" name="KSOTemplateDocerSaveRecord">
    <vt:lpwstr>eyJoZGlkIjoiMWIyYWE0NjAwN2Q4ZGUzY2Q3MjU4OWNiNDM0ODJiMWYiLCJ1c2VySWQiOiIxNTYwNzQ0OTMzIn0=</vt:lpwstr>
  </property>
</Properties>
</file>